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5040000" cy="3024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040000" cy="3024000"/>
                    </a:xfrm>
                    <a:prstGeom prst="rect"/>
                  </pic:spPr>
                </pic:pic>
              </a:graphicData>
            </a:graphic>
          </wp:inline>
        </w:drawing>
      </w:r>
    </w:p>
    <w:p>
      <w:pPr>
        <w:jc w:val="center"/>
      </w:pPr>
      <w:r>
        <w:rPr>
          <w:b/>
          <w:sz w:val="32"/>
        </w:rPr>
        <w:t>2026吉林（省直/长春）养老金计算方法详解，30年工龄能拿多少退休金？</w:t>
      </w:r>
    </w:p>
    <w:p>
      <w:pPr>
        <w:pStyle w:val="Heading1"/>
      </w:pPr>
      <w:r>
        <w:t>2026吉林（省直/长春）养老金计算方法详解，30年工龄能拿多少退休金？</w:t>
      </w:r>
    </w:p>
    <w:p>
      <w:r>
        <w:t>2025年长春市（省直）养老金计发基数已正式公布——7,979元/月（95,739元/年）。相比2024年上涨了约150元，涨幅约1.9%。长春在吉林省内是基数最高的城市，比普通地市的7,322元高657元。吉林省过渡系数为1.2%，属于全国主流水平。今天用30年工龄、1.0缴费指数完整算一遍。</w:t>
      </w:r>
    </w:p>
    <w:p>
      <w:r>
        <w:t>吉林省企业职工基本养老金由基础养老金、个人账户养老金和过渡性养老金三部分构成，依据吉政发〔2004〕28号《吉林省人民政府关于调整和完善城镇企业职工基本养老金计发办法有关问题的通知》和吉人社联〔2025〕97号《关于发布吉林省社会保险缴费基数和计发基数的通知》执行。吉林省企业职工过渡性养老金计发系数为1.2%。个人账户于1995年7月1日建立，此前的连续工龄可认定为视同缴费年限。</w:t>
      </w:r>
    </w:p>
    <w:p>
      <w:pPr>
        <w:jc w:val="center"/>
      </w:pPr>
      <w:r>
        <w:drawing>
          <wp:inline xmlns:a="http://schemas.openxmlformats.org/drawingml/2006/main" xmlns:pic="http://schemas.openxmlformats.org/drawingml/2006/picture">
            <wp:extent cx="5040000" cy="3717000"/>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040000" cy="3717000"/>
                    </a:xfrm>
                    <a:prstGeom prst="rect"/>
                  </pic:spPr>
                </pic:pic>
              </a:graphicData>
            </a:graphic>
          </wp:inline>
        </w:drawing>
      </w:r>
    </w:p>
    <w:p>
      <w:r>
        <w:t>⚠️ 前提说明：2026年退休使用2025年度计发基数7,979元/月，先预发后补差。</w:t>
      </w:r>
    </w:p>
    <w:p>
      <w:pPr>
        <w:pStyle w:val="Heading2"/>
      </w:pPr>
      <w:r>
        <w:t>一、长春养老金的地基——7,979元的含金量</w:t>
      </w:r>
    </w:p>
    <w:p>
      <w:r>
        <w:t>计发基数是整个养老金计算的地基，直接决定基础养老金和过渡性养老金两项，合计占总养老金六成以上。吉林省计发基数分三档：长春7,979元、普通地市7,322元、农垦企业2,223元。</w:t>
      </w:r>
    </w:p>
    <w:p>
      <w:r>
        <w:t>近三年走势：</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年度</w:t>
            </w:r>
          </w:p>
        </w:tc>
        <w:tc>
          <w:tcPr>
            <w:tcW w:type="dxa" w:w="2160"/>
          </w:tcPr>
          <w:p>
            <w:r>
              <w:rPr>
                <w:b/>
              </w:rPr>
              <w:t>计发基数（元/月）</w:t>
            </w:r>
          </w:p>
        </w:tc>
        <w:tc>
          <w:tcPr>
            <w:tcW w:type="dxa" w:w="2160"/>
          </w:tcPr>
          <w:p>
            <w:r>
              <w:rPr>
                <w:b/>
              </w:rPr>
              <w:t>较上年增长额</w:t>
            </w:r>
          </w:p>
        </w:tc>
        <w:tc>
          <w:tcPr>
            <w:tcW w:type="dxa" w:w="2160"/>
          </w:tcPr>
          <w:p>
            <w:r>
              <w:rPr>
                <w:b/>
              </w:rPr>
              <w:t>涨幅</w:t>
            </w:r>
          </w:p>
        </w:tc>
      </w:tr>
      <w:tr>
        <w:tc>
          <w:tcPr>
            <w:tcW w:type="dxa" w:w="2160"/>
          </w:tcPr>
          <w:p>
            <w:r>
              <w:t>2023年</w:t>
            </w:r>
          </w:p>
        </w:tc>
        <w:tc>
          <w:tcPr>
            <w:tcW w:type="dxa" w:w="2160"/>
          </w:tcPr>
          <w:p>
            <w:r>
              <w:t>约7,700</w:t>
            </w:r>
          </w:p>
        </w:tc>
        <w:tc>
          <w:tcPr>
            <w:tcW w:type="dxa" w:w="2160"/>
          </w:tcPr>
          <w:p>
            <w:r>
              <w:t>—</w:t>
            </w:r>
          </w:p>
        </w:tc>
        <w:tc>
          <w:tcPr>
            <w:tcW w:type="dxa" w:w="2160"/>
          </w:tcPr>
          <w:p>
            <w:r>
              <w:t>—</w:t>
            </w:r>
          </w:p>
        </w:tc>
      </w:tr>
      <w:tr>
        <w:tc>
          <w:tcPr>
            <w:tcW w:type="dxa" w:w="2160"/>
          </w:tcPr>
          <w:p>
            <w:r>
              <w:t>2024年</w:t>
            </w:r>
          </w:p>
        </w:tc>
        <w:tc>
          <w:tcPr>
            <w:tcW w:type="dxa" w:w="2160"/>
          </w:tcPr>
          <w:p>
            <w:r>
              <w:t>约7,830</w:t>
            </w:r>
          </w:p>
        </w:tc>
        <w:tc>
          <w:tcPr>
            <w:tcW w:type="dxa" w:w="2160"/>
          </w:tcPr>
          <w:p>
            <w:r>
              <w:t>+约130</w:t>
            </w:r>
          </w:p>
        </w:tc>
        <w:tc>
          <w:tcPr>
            <w:tcW w:type="dxa" w:w="2160"/>
          </w:tcPr>
          <w:p>
            <w:r>
              <w:t>约1.7%</w:t>
            </w:r>
          </w:p>
        </w:tc>
      </w:tr>
      <w:tr>
        <w:tc>
          <w:tcPr>
            <w:tcW w:type="dxa" w:w="2160"/>
          </w:tcPr>
          <w:p>
            <w:r>
              <w:t>2025年</w:t>
            </w:r>
          </w:p>
        </w:tc>
        <w:tc>
          <w:tcPr>
            <w:tcW w:type="dxa" w:w="2160"/>
          </w:tcPr>
          <w:p>
            <w:r>
              <w:t>7,979</w:t>
            </w:r>
          </w:p>
        </w:tc>
        <w:tc>
          <w:tcPr>
            <w:tcW w:type="dxa" w:w="2160"/>
          </w:tcPr>
          <w:p>
            <w:r>
              <w:t>+约149</w:t>
            </w:r>
          </w:p>
        </w:tc>
        <w:tc>
          <w:tcPr>
            <w:tcW w:type="dxa" w:w="2160"/>
          </w:tcPr>
          <w:p>
            <w:r>
              <w:t>约1.9%</w:t>
            </w:r>
          </w:p>
        </w:tc>
      </w:tr>
    </w:tbl>
    <w:p>
      <w:r>
        <w:t>三年累计增长约279元。吉林省基数在全国处于下游水平，在东北三省中也低于辽宁普通地市7,346元。</w:t>
      </w:r>
    </w:p>
    <w:p>
      <w:r>
        <w:t>吉林省内横向对比：</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t>地区</w:t>
            </w:r>
          </w:p>
        </w:tc>
        <w:tc>
          <w:tcPr>
            <w:tcW w:type="dxa" w:w="2880"/>
          </w:tcPr>
          <w:p>
            <w:r>
              <w:rPr>
                <w:b/>
              </w:rPr>
              <w:t>2025年计发基数（元/月）</w:t>
            </w:r>
          </w:p>
        </w:tc>
        <w:tc>
          <w:tcPr>
            <w:tcW w:type="dxa" w:w="2880"/>
          </w:tcPr>
          <w:p>
            <w:r>
              <w:rPr>
                <w:b/>
              </w:rPr>
              <w:t>与长春比较</w:t>
            </w:r>
          </w:p>
        </w:tc>
      </w:tr>
      <w:tr>
        <w:tc>
          <w:tcPr>
            <w:tcW w:type="dxa" w:w="2880"/>
          </w:tcPr>
          <w:p>
            <w:r>
              <w:t>长春</w:t>
            </w:r>
          </w:p>
        </w:tc>
        <w:tc>
          <w:tcPr>
            <w:tcW w:type="dxa" w:w="2880"/>
          </w:tcPr>
          <w:p>
            <w:r>
              <w:t>7,979</w:t>
            </w:r>
          </w:p>
        </w:tc>
        <w:tc>
          <w:tcPr>
            <w:tcW w:type="dxa" w:w="2880"/>
          </w:tcPr>
          <w:p>
            <w:r>
              <w:t>—</w:t>
            </w:r>
          </w:p>
        </w:tc>
      </w:tr>
      <w:tr>
        <w:tc>
          <w:tcPr>
            <w:tcW w:type="dxa" w:w="2880"/>
          </w:tcPr>
          <w:p>
            <w:r>
              <w:t>普通地市</w:t>
            </w:r>
          </w:p>
        </w:tc>
        <w:tc>
          <w:tcPr>
            <w:tcW w:type="dxa" w:w="2880"/>
          </w:tcPr>
          <w:p>
            <w:r>
              <w:t>7,322</w:t>
            </w:r>
          </w:p>
        </w:tc>
        <w:tc>
          <w:tcPr>
            <w:tcW w:type="dxa" w:w="2880"/>
          </w:tcPr>
          <w:p>
            <w:r>
              <w:t>-657元</w:t>
            </w:r>
          </w:p>
        </w:tc>
      </w:tr>
    </w:tbl>
    <w:p>
      <w:r>
        <w:t>长春1.2%的过渡系数在全国属于主流水平。吉林省的过渡性养老金公式是：计发基数×本人平均缴费工资指数×建账前视同缴费年限×1.2%。</w:t>
      </w:r>
    </w:p>
    <w:p>
      <w:r>
        <w:t>长春是吉林省的省会，也是东北重要的工业城市——一汽集团、中车长客、吉林石化等大型央企的总部或主要基地都在这里。这些企业的薪酬水平高于全省平均，拉高了长春的缴费基数。但长春7,979元的基数在全国省会中处于下游，仅高于哈尔滨和部分西部省会。加上1.2%的过渡系数不算高，长春退休人员的养老金在东北属于中游偏下。</w:t>
      </w:r>
    </w:p>
    <w:p>
      <w:r>
        <w:t>吉林省过渡性养老金公式不同于重庆和辽宁——它采用传统单系数模式：以计发基数乘本人平均缴费工资指数再乘建账前视同缴费年限再乘1.2%。与重庆辽宁的”基础养老金基数乘系数”公式相比，吉林的公式在低指数时不如重庆辽宁多。但吉林的高缴费者（指数1.5以上）传统公式更高。</w:t>
      </w:r>
    </w:p>
    <w:p>
      <w:r>
        <w:t>个人账户建账时间1995年7月1日，在全国属于偏早。这意味着一汽、长客、吉林石化等老国企职工的视同工龄相对较短（约7-8年），但吉林省还有一项调节金制度（吉政发〔2004〕28号规定从2004年起调节金170元每年递减17元，现已取消）。</w:t>
      </w:r>
    </w:p>
    <w:p>
      <w:pPr>
        <w:pStyle w:val="Heading2"/>
      </w:pPr>
      <w:r>
        <w:t>二、基础养老金</w:t>
      </w:r>
    </w:p>
    <w:p>
      <w:pPr>
        <w:ind w:left="567"/>
      </w:pPr>
      <w:r>
        <w:t>基础养老金 = 计发基数 × (1+平均缴费指数) ÷ 2 × 缴费年限 × 1%</w:t>
      </w:r>
    </w:p>
    <w:p>
      <w:pPr>
        <w:ind w:left="567"/>
      </w:pPr>
      <w:r>
        <w:t>1.0指数：7,979 × (1+1.0)÷2×30×1% = 2,394元/月</w:t>
      </w:r>
    </w:p>
    <w:p>
      <w:pPr>
        <w:ind w:left="567"/>
      </w:pPr>
      <w:r>
        <w:t>0.6指数：7,979 × (1+0.6)÷2×30×1% = 1,915元/月</w:t>
      </w:r>
    </w:p>
    <w:p>
      <w:pPr>
        <w:ind w:left="567"/>
      </w:pPr>
      <w:r>
        <w:t>2.0指数：7,979 × (1+2.0)÷2×30×1% = 3,591元/月</w:t>
      </w:r>
    </w:p>
    <w:p>
      <w:pPr>
        <w:ind w:left="567"/>
      </w:pPr>
      <w:r>
        <w:t>3.0指数：7,979 × (1+3.0)÷2×30×1% = 4,787元/月</w:t>
      </w:r>
    </w:p>
    <w:p>
      <w:r>
        <w:t>仅基础养老金一项，1.0比0.6每月多479元。</w:t>
      </w:r>
    </w:p>
    <w:p>
      <w:pPr>
        <w:pStyle w:val="Heading2"/>
      </w:pPr>
      <w:r>
        <w:t>三、个人账户养老金</w:t>
      </w:r>
    </w:p>
    <w:p>
      <w:pPr>
        <w:ind w:left="567"/>
      </w:pPr>
      <w:r>
        <w:t>个人账户养老金 = 个人账户累计储存额 ÷ 139（60岁计发月数）</w:t>
      </w:r>
    </w:p>
    <w:p>
      <w:r>
        <w:t>按长春7,979元基数，1.0指数个人月缴638元（7,979×8%），年缴7,660元。但这是按当前基数的静态计算——90年代吉林社平工资远低于现在。综合历史增长和记账利率，30年实际余额约15万元。</w:t>
      </w:r>
    </w:p>
    <w:p>
      <w:pPr>
        <w:ind w:left="567"/>
      </w:pPr>
      <w:r>
        <w:t>1.0指数（约15万元）：150,000÷139 = 1,079元/月</w:t>
      </w:r>
    </w:p>
    <w:p>
      <w:pPr>
        <w:ind w:left="567"/>
      </w:pPr>
      <w:r>
        <w:t>0.6指数（约9万元）：90,000÷139 = 647元/月</w:t>
      </w:r>
    </w:p>
    <w:p>
      <w:pPr>
        <w:ind w:left="567"/>
      </w:pPr>
      <w:r>
        <w:t>2.0指数（约30万元）：300,000÷139 = 2,158元/月</w:t>
      </w:r>
    </w:p>
    <w:p>
      <w:pPr>
        <w:pStyle w:val="Heading2"/>
      </w:pPr>
      <w:r>
        <w:t>四、过渡性养老金——吉林1.2%系数</w:t>
      </w:r>
    </w:p>
    <w:p>
      <w:r>
        <w:t>依据吉政发〔2004〕28号，吉林省过渡性养老金公式为：</w:t>
      </w:r>
    </w:p>
    <w:p>
      <w:pPr>
        <w:ind w:left="567"/>
      </w:pPr>
      <w:r>
        <w:t>过渡性养老金 = 计发基数 × 本人平均缴费工资指数 × 建账前视同缴费年限 × 1.2%</w:t>
      </w:r>
    </w:p>
    <w:p>
      <w:r>
        <w:t>这个公式是传统单系数模式——直接以计发基数乘指数，再乘视同年限和系数，与重庆、辽宁的公式不同。</w:t>
      </w:r>
    </w:p>
    <w:p>
      <w:r>
        <w:t>代入计算（假设30年工龄，1995年7月前有6年视同）：</w:t>
      </w:r>
    </w:p>
    <w:p>
      <w:pPr>
        <w:ind w:left="567"/>
      </w:pPr>
      <w:r>
        <w:t>过渡性养老金 = 7,979 × 1.0 × 6 × 1.2% = 575元/月</w:t>
      </w:r>
    </w:p>
    <w:p>
      <w:pPr>
        <w:ind w:left="567"/>
      </w:pPr>
      <w:r>
        <w:t>0.6指数：7,979 × 0.6 × 6 × 1.2% = 345元/月</w:t>
      </w:r>
    </w:p>
    <w:p>
      <w:pPr>
        <w:ind w:left="567"/>
      </w:pPr>
      <w:r>
        <w:t>2.0指数：7,979 × 2.0 × 6 × 1.2% = 1,149元/月</w:t>
      </w:r>
    </w:p>
    <w:p>
      <w:r>
        <w:t>长春每年视同值约96元/月（1.0指数）。一汽、长客的老职工建账前工龄一般7-8年，过渡性养老金约670-770元/月。</w:t>
      </w:r>
    </w:p>
    <w:p>
      <w:r>
        <w:t>另外需要说明，吉政发〔2004〕28号还规定了一项调节金制度——2004年起每人每月170元，每年递减17元，到2014年后已全部取消。因此2026年退休的人员不再享受调节金，全部由过渡性养老金替代。但1998年7月1日前参加工作的老职工仍然完整享受过渡性养老金。</w:t>
      </w:r>
    </w:p>
    <w:p>
      <w:r>
        <w:t>⚠️ 档案认定：1995年7月1日前的老工龄需要原始档案。吉林老国企多，退休前务必去人社局做预审。</w:t>
      </w:r>
    </w:p>
    <w:p>
      <w:pPr>
        <w:pStyle w:val="Heading2"/>
      </w:pPr>
      <w:r>
        <w:t>五、汇总：30年工龄在长春能拿多少？</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t>养老金构成</w:t>
            </w:r>
          </w:p>
        </w:tc>
        <w:tc>
          <w:tcPr>
            <w:tcW w:type="dxa" w:w="1728"/>
          </w:tcPr>
          <w:p>
            <w:r>
              <w:rPr>
                <w:b/>
              </w:rPr>
              <w:t>0.6指数</w:t>
            </w:r>
          </w:p>
        </w:tc>
        <w:tc>
          <w:tcPr>
            <w:tcW w:type="dxa" w:w="1728"/>
          </w:tcPr>
          <w:p>
            <w:r>
              <w:rPr>
                <w:b/>
              </w:rPr>
              <w:t>1.0指数</w:t>
            </w:r>
          </w:p>
        </w:tc>
        <w:tc>
          <w:tcPr>
            <w:tcW w:type="dxa" w:w="1728"/>
          </w:tcPr>
          <w:p>
            <w:r>
              <w:rPr>
                <w:b/>
              </w:rPr>
              <w:t>2.0指数</w:t>
            </w:r>
          </w:p>
        </w:tc>
        <w:tc>
          <w:tcPr>
            <w:tcW w:type="dxa" w:w="1728"/>
          </w:tcPr>
          <w:p>
            <w:r>
              <w:rPr>
                <w:b/>
              </w:rPr>
              <w:t>3.0指数</w:t>
            </w:r>
          </w:p>
        </w:tc>
      </w:tr>
      <w:tr>
        <w:tc>
          <w:tcPr>
            <w:tcW w:type="dxa" w:w="1728"/>
          </w:tcPr>
          <w:p>
            <w:r>
              <w:t>基础养老金</w:t>
            </w:r>
          </w:p>
        </w:tc>
        <w:tc>
          <w:tcPr>
            <w:tcW w:type="dxa" w:w="1728"/>
          </w:tcPr>
          <w:p>
            <w:r>
              <w:t>1,915</w:t>
            </w:r>
          </w:p>
        </w:tc>
        <w:tc>
          <w:tcPr>
            <w:tcW w:type="dxa" w:w="1728"/>
          </w:tcPr>
          <w:p>
            <w:r>
              <w:t>2,394</w:t>
            </w:r>
          </w:p>
        </w:tc>
        <w:tc>
          <w:tcPr>
            <w:tcW w:type="dxa" w:w="1728"/>
          </w:tcPr>
          <w:p>
            <w:r>
              <w:t>3,591</w:t>
            </w:r>
          </w:p>
        </w:tc>
        <w:tc>
          <w:tcPr>
            <w:tcW w:type="dxa" w:w="1728"/>
          </w:tcPr>
          <w:p>
            <w:r>
              <w:t>4,787</w:t>
            </w:r>
          </w:p>
        </w:tc>
      </w:tr>
      <w:tr>
        <w:tc>
          <w:tcPr>
            <w:tcW w:type="dxa" w:w="1728"/>
          </w:tcPr>
          <w:p>
            <w:r>
              <w:t>个人账户养老金</w:t>
            </w:r>
          </w:p>
        </w:tc>
        <w:tc>
          <w:tcPr>
            <w:tcW w:type="dxa" w:w="1728"/>
          </w:tcPr>
          <w:p>
            <w:r>
              <w:t>647</w:t>
            </w:r>
          </w:p>
        </w:tc>
        <w:tc>
          <w:tcPr>
            <w:tcW w:type="dxa" w:w="1728"/>
          </w:tcPr>
          <w:p>
            <w:r>
              <w:t>1,079</w:t>
            </w:r>
          </w:p>
        </w:tc>
        <w:tc>
          <w:tcPr>
            <w:tcW w:type="dxa" w:w="1728"/>
          </w:tcPr>
          <w:p>
            <w:r>
              <w:t>2,158</w:t>
            </w:r>
          </w:p>
        </w:tc>
        <w:tc>
          <w:tcPr>
            <w:tcW w:type="dxa" w:w="1728"/>
          </w:tcPr>
          <w:p>
            <w:r>
              <w:t>3,238</w:t>
            </w:r>
          </w:p>
        </w:tc>
      </w:tr>
      <w:tr>
        <w:tc>
          <w:tcPr>
            <w:tcW w:type="dxa" w:w="1728"/>
          </w:tcPr>
          <w:p>
            <w:r>
              <w:t>过渡性养老金</w:t>
            </w:r>
          </w:p>
        </w:tc>
        <w:tc>
          <w:tcPr>
            <w:tcW w:type="dxa" w:w="1728"/>
          </w:tcPr>
          <w:p>
            <w:r>
              <w:t>345</w:t>
            </w:r>
          </w:p>
        </w:tc>
        <w:tc>
          <w:tcPr>
            <w:tcW w:type="dxa" w:w="1728"/>
          </w:tcPr>
          <w:p>
            <w:r>
              <w:t>575</w:t>
            </w:r>
          </w:p>
        </w:tc>
        <w:tc>
          <w:tcPr>
            <w:tcW w:type="dxa" w:w="1728"/>
          </w:tcPr>
          <w:p>
            <w:r>
              <w:t>1,149</w:t>
            </w:r>
          </w:p>
        </w:tc>
        <w:tc>
          <w:tcPr>
            <w:tcW w:type="dxa" w:w="1728"/>
          </w:tcPr>
          <w:p>
            <w:r>
              <w:t>1,724</w:t>
            </w:r>
          </w:p>
        </w:tc>
      </w:tr>
      <w:tr>
        <w:tc>
          <w:tcPr>
            <w:tcW w:type="dxa" w:w="1728"/>
          </w:tcPr>
          <w:p>
            <w:r>
              <w:t>合计</w:t>
            </w:r>
          </w:p>
        </w:tc>
        <w:tc>
          <w:tcPr>
            <w:tcW w:type="dxa" w:w="1728"/>
          </w:tcPr>
          <w:p>
            <w:r>
              <w:t>2,907</w:t>
            </w:r>
          </w:p>
        </w:tc>
        <w:tc>
          <w:tcPr>
            <w:tcW w:type="dxa" w:w="1728"/>
          </w:tcPr>
          <w:p>
            <w:r>
              <w:t>4,048</w:t>
            </w:r>
          </w:p>
        </w:tc>
        <w:tc>
          <w:tcPr>
            <w:tcW w:type="dxa" w:w="1728"/>
          </w:tcPr>
          <w:p>
            <w:r>
              <w:t>6,898</w:t>
            </w:r>
          </w:p>
        </w:tc>
        <w:tc>
          <w:tcPr>
            <w:tcW w:type="dxa" w:w="1728"/>
          </w:tcPr>
          <w:p>
            <w:r>
              <w:t>9,749</w:t>
            </w:r>
          </w:p>
        </w:tc>
      </w:tr>
    </w:tbl>
    <w:p>
      <w:r>
        <w:t>1.0指数约4,048元/月。0.6到1.0差距1,141元/月，一年13,692元，三十年约41万元。</w:t>
      </w:r>
    </w:p>
    <w:p>
      <w:r>
        <w:t>长春4,048元在省内排第一，但放到全国省会中属于偏低水平。同样条件在北京是6,065元，在沈阳是4,373元，在哈尔滨约3,600元——长春处于中等偏下。不过长春的房价和物价在省会中也偏低，实际购买力并不差。</w:t>
      </w:r>
    </w:p>
    <w:p>
      <w:pPr>
        <w:pStyle w:val="Heading3"/>
      </w:pPr>
      <w:r>
        <w:t>不同视同工龄的情景对比（1.0指数，30年总工龄）</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t>视同年限</w:t>
            </w:r>
          </w:p>
        </w:tc>
        <w:tc>
          <w:tcPr>
            <w:tcW w:type="dxa" w:w="1728"/>
          </w:tcPr>
          <w:p>
            <w:r>
              <w:rPr>
                <w:b/>
              </w:rPr>
              <w:t>基础养老金</w:t>
            </w:r>
          </w:p>
        </w:tc>
        <w:tc>
          <w:tcPr>
            <w:tcW w:type="dxa" w:w="1728"/>
          </w:tcPr>
          <w:p>
            <w:r>
              <w:rPr>
                <w:b/>
              </w:rPr>
              <w:t>个人账户</w:t>
            </w:r>
          </w:p>
        </w:tc>
        <w:tc>
          <w:tcPr>
            <w:tcW w:type="dxa" w:w="1728"/>
          </w:tcPr>
          <w:p>
            <w:r>
              <w:rPr>
                <w:b/>
              </w:rPr>
              <w:t>过渡性</w:t>
            </w:r>
          </w:p>
        </w:tc>
        <w:tc>
          <w:tcPr>
            <w:tcW w:type="dxa" w:w="1728"/>
          </w:tcPr>
          <w:p>
            <w:r>
              <w:rPr>
                <w:b/>
              </w:rPr>
              <w:t>合计</w:t>
            </w:r>
          </w:p>
        </w:tc>
      </w:tr>
      <w:tr>
        <w:tc>
          <w:tcPr>
            <w:tcW w:type="dxa" w:w="1728"/>
          </w:tcPr>
          <w:p>
            <w:r>
              <w:t>0年（新人）</w:t>
            </w:r>
          </w:p>
        </w:tc>
        <w:tc>
          <w:tcPr>
            <w:tcW w:type="dxa" w:w="1728"/>
          </w:tcPr>
          <w:p>
            <w:r>
              <w:t>2,394</w:t>
            </w:r>
          </w:p>
        </w:tc>
        <w:tc>
          <w:tcPr>
            <w:tcW w:type="dxa" w:w="1728"/>
          </w:tcPr>
          <w:p>
            <w:r>
              <w:t>1,079</w:t>
            </w:r>
          </w:p>
        </w:tc>
        <w:tc>
          <w:tcPr>
            <w:tcW w:type="dxa" w:w="1728"/>
          </w:tcPr>
          <w:p>
            <w:r>
              <w:t>0</w:t>
            </w:r>
          </w:p>
        </w:tc>
        <w:tc>
          <w:tcPr>
            <w:tcW w:type="dxa" w:w="1728"/>
          </w:tcPr>
          <w:p>
            <w:r>
              <w:t>3,473</w:t>
            </w:r>
          </w:p>
        </w:tc>
      </w:tr>
      <w:tr>
        <w:tc>
          <w:tcPr>
            <w:tcW w:type="dxa" w:w="1728"/>
          </w:tcPr>
          <w:p>
            <w:r>
              <w:t>6年</w:t>
            </w:r>
          </w:p>
        </w:tc>
        <w:tc>
          <w:tcPr>
            <w:tcW w:type="dxa" w:w="1728"/>
          </w:tcPr>
          <w:p>
            <w:r>
              <w:t>2,394</w:t>
            </w:r>
          </w:p>
        </w:tc>
        <w:tc>
          <w:tcPr>
            <w:tcW w:type="dxa" w:w="1728"/>
          </w:tcPr>
          <w:p>
            <w:r>
              <w:t>1,079</w:t>
            </w:r>
          </w:p>
        </w:tc>
        <w:tc>
          <w:tcPr>
            <w:tcW w:type="dxa" w:w="1728"/>
          </w:tcPr>
          <w:p>
            <w:r>
              <w:t>575</w:t>
            </w:r>
          </w:p>
        </w:tc>
        <w:tc>
          <w:tcPr>
            <w:tcW w:type="dxa" w:w="1728"/>
          </w:tcPr>
          <w:p>
            <w:r>
              <w:t>4,048</w:t>
            </w:r>
          </w:p>
        </w:tc>
      </w:tr>
      <w:tr>
        <w:tc>
          <w:tcPr>
            <w:tcW w:type="dxa" w:w="1728"/>
          </w:tcPr>
          <w:p>
            <w:r>
              <w:t>10年</w:t>
            </w:r>
          </w:p>
        </w:tc>
        <w:tc>
          <w:tcPr>
            <w:tcW w:type="dxa" w:w="1728"/>
          </w:tcPr>
          <w:p>
            <w:r>
              <w:t>2,394</w:t>
            </w:r>
          </w:p>
        </w:tc>
        <w:tc>
          <w:tcPr>
            <w:tcW w:type="dxa" w:w="1728"/>
          </w:tcPr>
          <w:p>
            <w:r>
              <w:t>1,079</w:t>
            </w:r>
          </w:p>
        </w:tc>
        <w:tc>
          <w:tcPr>
            <w:tcW w:type="dxa" w:w="1728"/>
          </w:tcPr>
          <w:p>
            <w:r>
              <w:t>958</w:t>
            </w:r>
          </w:p>
        </w:tc>
        <w:tc>
          <w:tcPr>
            <w:tcW w:type="dxa" w:w="1728"/>
          </w:tcPr>
          <w:p>
            <w:r>
              <w:t>4,431</w:t>
            </w:r>
          </w:p>
        </w:tc>
      </w:tr>
    </w:tbl>
    <w:p>
      <w:r>
        <w:t>每多5年视同约多479元/月。长春建账时间1995年7月在全国偏早，视同工龄较短。</w:t>
      </w:r>
    </w:p>
    <w:p>
      <w:pPr>
        <w:pStyle w:val="Heading3"/>
      </w:pPr>
      <w:r>
        <w:t>计发基数变化影响</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基数年份</w:t>
            </w:r>
          </w:p>
        </w:tc>
        <w:tc>
          <w:tcPr>
            <w:tcW w:type="dxa" w:w="2160"/>
          </w:tcPr>
          <w:p>
            <w:r>
              <w:rPr>
                <w:b/>
              </w:rPr>
              <w:t>计发基数</w:t>
            </w:r>
          </w:p>
        </w:tc>
        <w:tc>
          <w:tcPr>
            <w:tcW w:type="dxa" w:w="2160"/>
          </w:tcPr>
          <w:p>
            <w:r>
              <w:rPr>
                <w:b/>
              </w:rPr>
              <w:t>月养老金(1.0)</w:t>
            </w:r>
          </w:p>
        </w:tc>
        <w:tc>
          <w:tcPr>
            <w:tcW w:type="dxa" w:w="2160"/>
          </w:tcPr>
          <w:p>
            <w:r>
              <w:rPr>
                <w:b/>
              </w:rPr>
              <w:t>较上年差额</w:t>
            </w:r>
          </w:p>
        </w:tc>
      </w:tr>
      <w:tr>
        <w:tc>
          <w:tcPr>
            <w:tcW w:type="dxa" w:w="2160"/>
          </w:tcPr>
          <w:p>
            <w:r>
              <w:t>2023年</w:t>
            </w:r>
          </w:p>
        </w:tc>
        <w:tc>
          <w:tcPr>
            <w:tcW w:type="dxa" w:w="2160"/>
          </w:tcPr>
          <w:p>
            <w:r>
              <w:t>约7,700</w:t>
            </w:r>
          </w:p>
        </w:tc>
        <w:tc>
          <w:tcPr>
            <w:tcW w:type="dxa" w:w="2160"/>
          </w:tcPr>
          <w:p>
            <w:r>
              <w:t>约3,918</w:t>
            </w:r>
          </w:p>
        </w:tc>
        <w:tc>
          <w:tcPr>
            <w:tcW w:type="dxa" w:w="2160"/>
          </w:tcPr>
          <w:p>
            <w:r>
              <w:t>—</w:t>
            </w:r>
          </w:p>
        </w:tc>
      </w:tr>
      <w:tr>
        <w:tc>
          <w:tcPr>
            <w:tcW w:type="dxa" w:w="2160"/>
          </w:tcPr>
          <w:p>
            <w:r>
              <w:t>2024年</w:t>
            </w:r>
          </w:p>
        </w:tc>
        <w:tc>
          <w:tcPr>
            <w:tcW w:type="dxa" w:w="2160"/>
          </w:tcPr>
          <w:p>
            <w:r>
              <w:t>约7,830</w:t>
            </w:r>
          </w:p>
        </w:tc>
        <w:tc>
          <w:tcPr>
            <w:tcW w:type="dxa" w:w="2160"/>
          </w:tcPr>
          <w:p>
            <w:r>
              <w:t>约3,978</w:t>
            </w:r>
          </w:p>
        </w:tc>
        <w:tc>
          <w:tcPr>
            <w:tcW w:type="dxa" w:w="2160"/>
          </w:tcPr>
          <w:p>
            <w:r>
              <w:t>+60</w:t>
            </w:r>
          </w:p>
        </w:tc>
      </w:tr>
      <w:tr>
        <w:tc>
          <w:tcPr>
            <w:tcW w:type="dxa" w:w="2160"/>
          </w:tcPr>
          <w:p>
            <w:r>
              <w:t>2025年</w:t>
            </w:r>
          </w:p>
        </w:tc>
        <w:tc>
          <w:tcPr>
            <w:tcW w:type="dxa" w:w="2160"/>
          </w:tcPr>
          <w:p>
            <w:r>
              <w:t>7,979</w:t>
            </w:r>
          </w:p>
        </w:tc>
        <w:tc>
          <w:tcPr>
            <w:tcW w:type="dxa" w:w="2160"/>
          </w:tcPr>
          <w:p>
            <w:r>
              <w:t>4,048</w:t>
            </w:r>
          </w:p>
        </w:tc>
        <w:tc>
          <w:tcPr>
            <w:tcW w:type="dxa" w:w="2160"/>
          </w:tcPr>
          <w:p>
            <w:r>
              <w:t>+70</w:t>
            </w:r>
          </w:p>
        </w:tc>
      </w:tr>
    </w:tbl>
    <w:p>
      <w:pPr>
        <w:pStyle w:val="Heading3"/>
      </w:pPr>
      <w:r>
        <w:t>回本时间测算</w:t>
      </w:r>
    </w:p>
    <w:p>
      <w:r>
        <w:t>1.0指数30年个人累计缴费约15万元，月养老金4,048元：</w:t>
      </w:r>
    </w:p>
    <w:p>
      <w:pPr>
        <w:ind w:left="567"/>
      </w:pPr>
      <w:r>
        <w:t>150,000 ÷ 4,048 = 约37个月（约3.1年）回本</w:t>
      </w:r>
    </w:p>
    <w:p>
      <w:r>
        <w:t>吉林人均预期寿命约77岁，65岁退休可领约12年纯收益——合计约58万元。</w:t>
      </w:r>
    </w:p>
    <w:p>
      <w:pPr>
        <w:pStyle w:val="Heading2"/>
      </w:pPr>
      <w:r>
        <w:t>六、老王给长春朋友的建议</w:t>
      </w:r>
    </w:p>
    <w:p>
      <w:r>
        <w:t>第一，缴费指数尽量往高选。长春7,979元基数，0.6和1.0月差1,141元。</w:t>
      </w:r>
    </w:p>
    <w:p>
      <w:r>
        <w:t>第二，1995年7月前的工龄务必确认。长春建账时间早（1995年7月），视同工龄相对较短，但每年约96元。</w:t>
      </w:r>
    </w:p>
    <w:p>
      <w:r>
        <w:t>第三，一汽、长客等国企职工视同工龄长，过渡性养老金更为可观。</w:t>
      </w:r>
    </w:p>
    <w:p>
      <w:r>
        <w:t>第四，如果曾在辽宁缴费满10年，考虑在辽宁退休。辽宁基数更高。</w:t>
      </w:r>
    </w:p>
    <w:p>
      <w:r>
        <w:t>第五，补充个人养老金。</w:t>
      </w:r>
    </w:p>
    <w:p>
      <w:r>
        <w:t>第六，吉林的过渡系数1.2%低于辽宁1.4%，但建账前工龄认定同样重要。一汽、长客等国企的老职工务必核对档案中1995年前的工龄记录。吉林省企业职工视同缴费年限统一按指数1.0计算（吉政发〔2004〕28号），与个人实际缴费无关，对低指数者有利。</w:t>
      </w:r>
    </w:p>
    <w:p>
      <w:r>
        <w:t>你在长春工作吗？工龄多少年？评论区告诉老王。</w:t>
      </w:r>
    </w:p>
    <w:p>
      <w:r>
        <w:t>📥 下载Word文档（含完整计算过程）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